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Hatályos: 2018.0</w:t>
      </w:r>
      <w:r w:rsidR="002474E9" w:rsidRPr="000D6E41">
        <w:rPr>
          <w:rFonts w:ascii="Times New Roman" w:hAnsi="Times New Roman" w:cs="Times New Roman"/>
          <w:sz w:val="24"/>
          <w:szCs w:val="24"/>
        </w:rPr>
        <w:t>5</w:t>
      </w:r>
      <w:r w:rsidRPr="000D6E41">
        <w:rPr>
          <w:rFonts w:ascii="Times New Roman" w:hAnsi="Times New Roman" w:cs="Times New Roman"/>
          <w:sz w:val="24"/>
          <w:szCs w:val="24"/>
        </w:rPr>
        <w:t>.</w:t>
      </w:r>
      <w:r w:rsidR="002474E9" w:rsidRPr="000D6E41">
        <w:rPr>
          <w:rFonts w:ascii="Times New Roman" w:hAnsi="Times New Roman" w:cs="Times New Roman"/>
          <w:sz w:val="24"/>
          <w:szCs w:val="24"/>
        </w:rPr>
        <w:t>2</w:t>
      </w:r>
      <w:r w:rsidRPr="000D6E41">
        <w:rPr>
          <w:rFonts w:ascii="Times New Roman" w:hAnsi="Times New Roman" w:cs="Times New Roman"/>
          <w:sz w:val="24"/>
          <w:szCs w:val="24"/>
        </w:rPr>
        <w:t xml:space="preserve">5-től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  </w:t>
      </w:r>
    </w:p>
    <w:p w:rsidR="00DD3D34" w:rsidRPr="000D6E41" w:rsidRDefault="002474E9" w:rsidP="00D73AEF">
      <w:pPr>
        <w:jc w:val="both"/>
        <w:rPr>
          <w:rFonts w:ascii="Times New Roman" w:hAnsi="Times New Roman" w:cs="Times New Roman"/>
          <w:sz w:val="24"/>
          <w:szCs w:val="24"/>
        </w:rPr>
      </w:pPr>
      <w:r w:rsidRPr="000D6E41">
        <w:rPr>
          <w:rFonts w:ascii="Times New Roman" w:hAnsi="Times New Roman" w:cs="Times New Roman"/>
          <w:sz w:val="24"/>
          <w:szCs w:val="24"/>
        </w:rPr>
        <w:t>Név</w:t>
      </w:r>
      <w:r w:rsidR="005A20FD" w:rsidRPr="000D6E41">
        <w:rPr>
          <w:rFonts w:ascii="Times New Roman" w:hAnsi="Times New Roman" w:cs="Times New Roman"/>
          <w:sz w:val="24"/>
          <w:szCs w:val="24"/>
        </w:rPr>
        <w:t>:</w:t>
      </w:r>
      <w:r w:rsidRPr="000D6E41">
        <w:rPr>
          <w:rFonts w:ascii="Times New Roman" w:hAnsi="Times New Roman" w:cs="Times New Roman"/>
          <w:sz w:val="24"/>
          <w:szCs w:val="24"/>
        </w:rPr>
        <w:t xml:space="preserve"> Mozdulat Tánc és Kulturális Közhasznú Sportegyesület</w:t>
      </w:r>
    </w:p>
    <w:p w:rsidR="00DD3D34" w:rsidRPr="000D6E41" w:rsidRDefault="002474E9"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Bírósági nyilvántartási </w:t>
      </w:r>
      <w:r w:rsidR="005A20FD" w:rsidRPr="000D6E41">
        <w:rPr>
          <w:rFonts w:ascii="Times New Roman" w:hAnsi="Times New Roman" w:cs="Times New Roman"/>
          <w:sz w:val="24"/>
          <w:szCs w:val="24"/>
        </w:rPr>
        <w:t>szám: 15-0</w:t>
      </w:r>
      <w:r w:rsidRPr="000D6E41">
        <w:rPr>
          <w:rFonts w:ascii="Times New Roman" w:hAnsi="Times New Roman" w:cs="Times New Roman"/>
          <w:sz w:val="24"/>
          <w:szCs w:val="24"/>
        </w:rPr>
        <w:t>2</w:t>
      </w:r>
      <w:r w:rsidR="005A20FD" w:rsidRPr="000D6E41">
        <w:rPr>
          <w:rFonts w:ascii="Times New Roman" w:hAnsi="Times New Roman" w:cs="Times New Roman"/>
          <w:sz w:val="24"/>
          <w:szCs w:val="24"/>
        </w:rPr>
        <w:t>-000</w:t>
      </w:r>
      <w:r w:rsidRPr="000D6E41">
        <w:rPr>
          <w:rFonts w:ascii="Times New Roman" w:hAnsi="Times New Roman" w:cs="Times New Roman"/>
          <w:sz w:val="24"/>
          <w:szCs w:val="24"/>
        </w:rPr>
        <w:t>2831</w:t>
      </w:r>
      <w:r w:rsidR="005A20FD" w:rsidRPr="000D6E41">
        <w:rPr>
          <w:rFonts w:ascii="Times New Roman" w:hAnsi="Times New Roman" w:cs="Times New Roman"/>
          <w:sz w:val="24"/>
          <w:szCs w:val="24"/>
        </w:rPr>
        <w:t xml:space="preserve"> </w:t>
      </w:r>
    </w:p>
    <w:p w:rsidR="00DD3D34" w:rsidRPr="000D6E41" w:rsidRDefault="00DD3D34" w:rsidP="00D73AEF">
      <w:pPr>
        <w:jc w:val="both"/>
        <w:rPr>
          <w:rFonts w:ascii="Times New Roman" w:hAnsi="Times New Roman" w:cs="Times New Roman"/>
          <w:sz w:val="24"/>
          <w:szCs w:val="24"/>
        </w:rPr>
      </w:pPr>
    </w:p>
    <w:p w:rsidR="00DD3D34" w:rsidRPr="000D6E41" w:rsidRDefault="005A20FD" w:rsidP="00D73AEF">
      <w:pPr>
        <w:jc w:val="both"/>
        <w:rPr>
          <w:rFonts w:ascii="Times New Roman" w:hAnsi="Times New Roman" w:cs="Times New Roman"/>
          <w:sz w:val="32"/>
          <w:szCs w:val="32"/>
        </w:rPr>
      </w:pPr>
      <w:r w:rsidRPr="000D6E41">
        <w:rPr>
          <w:rFonts w:ascii="Times New Roman" w:hAnsi="Times New Roman" w:cs="Times New Roman"/>
          <w:b/>
          <w:sz w:val="32"/>
          <w:szCs w:val="32"/>
        </w:rPr>
        <w:t xml:space="preserve">Adatvédelmi Szabályzat </w:t>
      </w:r>
    </w:p>
    <w:p w:rsidR="00DD3D34" w:rsidRPr="000D6E41" w:rsidRDefault="00DD3D34" w:rsidP="00D73AEF">
      <w:pPr>
        <w:jc w:val="both"/>
        <w:rPr>
          <w:rFonts w:ascii="Times New Roman" w:hAnsi="Times New Roman" w:cs="Times New Roman"/>
          <w:sz w:val="24"/>
          <w:szCs w:val="24"/>
        </w:rPr>
      </w:pPr>
    </w:p>
    <w:p w:rsidR="00DD3D34" w:rsidRPr="000D6E41" w:rsidRDefault="00DD3D34" w:rsidP="00D73AEF">
      <w:pPr>
        <w:jc w:val="both"/>
        <w:rPr>
          <w:rFonts w:ascii="Times New Roman" w:hAnsi="Times New Roman" w:cs="Times New Roman"/>
          <w:sz w:val="24"/>
          <w:szCs w:val="24"/>
        </w:rPr>
      </w:pP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b/>
          <w:sz w:val="24"/>
          <w:szCs w:val="24"/>
        </w:rPr>
        <w:t> </w:t>
      </w:r>
      <w:r w:rsidR="000D6E41" w:rsidRPr="000D6E41">
        <w:rPr>
          <w:rFonts w:ascii="Times New Roman" w:hAnsi="Times New Roman" w:cs="Times New Roman"/>
          <w:b/>
          <w:sz w:val="24"/>
          <w:szCs w:val="24"/>
        </w:rPr>
        <w:t>Tartalomjegyzék</w:t>
      </w:r>
      <w:r w:rsidRPr="000D6E41">
        <w:rPr>
          <w:rFonts w:ascii="Times New Roman" w:hAnsi="Times New Roman" w:cs="Times New Roman"/>
          <w:b/>
          <w:sz w:val="24"/>
          <w:szCs w:val="24"/>
        </w:rPr>
        <w:t xml:space="preserve">: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1. Bevezetés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2. Értelmező rendelkezések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3. Adatkezelési alapelvek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4. Az adatkezelés alapjai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5. Az adatkezelés biztonsága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6. Az étintettek jogai </w:t>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sz w:val="24"/>
          <w:szCs w:val="24"/>
        </w:rPr>
        <w:t xml:space="preserve">  </w:t>
      </w:r>
    </w:p>
    <w:p w:rsidR="00DD3D34" w:rsidRPr="000D6E41" w:rsidRDefault="00DD3D34" w:rsidP="00D73AEF">
      <w:pPr>
        <w:jc w:val="both"/>
        <w:rPr>
          <w:rFonts w:ascii="Times New Roman" w:hAnsi="Times New Roman" w:cs="Times New Roman"/>
          <w:sz w:val="24"/>
          <w:szCs w:val="24"/>
        </w:rPr>
      </w:pPr>
    </w:p>
    <w:p w:rsidR="000D6E41" w:rsidRDefault="000D6E41">
      <w:pPr>
        <w:rPr>
          <w:rFonts w:ascii="Times New Roman" w:hAnsi="Times New Roman" w:cs="Times New Roman"/>
          <w:b/>
          <w:sz w:val="24"/>
          <w:szCs w:val="24"/>
        </w:rPr>
      </w:pPr>
      <w:r>
        <w:rPr>
          <w:rFonts w:ascii="Times New Roman" w:hAnsi="Times New Roman" w:cs="Times New Roman"/>
          <w:b/>
          <w:sz w:val="24"/>
          <w:szCs w:val="24"/>
        </w:rPr>
        <w:br w:type="page"/>
      </w:r>
    </w:p>
    <w:p w:rsidR="00DD3D34" w:rsidRPr="000D6E41" w:rsidRDefault="005A20FD" w:rsidP="00D73AEF">
      <w:pPr>
        <w:jc w:val="both"/>
        <w:rPr>
          <w:rFonts w:ascii="Times New Roman" w:hAnsi="Times New Roman" w:cs="Times New Roman"/>
          <w:sz w:val="24"/>
          <w:szCs w:val="24"/>
        </w:rPr>
      </w:pPr>
      <w:r w:rsidRPr="000D6E41">
        <w:rPr>
          <w:rFonts w:ascii="Times New Roman" w:hAnsi="Times New Roman" w:cs="Times New Roman"/>
          <w:b/>
          <w:sz w:val="24"/>
          <w:szCs w:val="24"/>
        </w:rPr>
        <w:lastRenderedPageBreak/>
        <w:t xml:space="preserve">1. BEVEZETÉS </w:t>
      </w:r>
    </w:p>
    <w:p w:rsidR="00DD3D34"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w:t>
      </w:r>
      <w:r w:rsidR="002474E9" w:rsidRPr="000D6E41">
        <w:rPr>
          <w:rFonts w:ascii="Times New Roman" w:hAnsi="Times New Roman" w:cs="Times New Roman"/>
          <w:sz w:val="24"/>
          <w:szCs w:val="24"/>
        </w:rPr>
        <w:t>Mozdulat TKKSE</w:t>
      </w:r>
      <w:r w:rsidRPr="000D6E41">
        <w:rPr>
          <w:rFonts w:ascii="Times New Roman" w:hAnsi="Times New Roman" w:cs="Times New Roman"/>
          <w:sz w:val="24"/>
          <w:szCs w:val="24"/>
        </w:rPr>
        <w:t xml:space="preserve"> (a továbbiakban: Adatkezelő) tevékenysége során fokozottan ügyel a személyes adatok védelmére, a kötelező jogi rendelkezések betartására, a biztonságos és tisztességes adatkezelésre. </w:t>
      </w:r>
    </w:p>
    <w:p w:rsidR="000D6E41" w:rsidRPr="000D6E41" w:rsidRDefault="000D6E41" w:rsidP="000D6E41">
      <w:pPr>
        <w:spacing w:after="0" w:line="360" w:lineRule="auto"/>
        <w:jc w:val="both"/>
        <w:rPr>
          <w:rFonts w:ascii="Times New Roman" w:hAnsi="Times New Roman" w:cs="Times New Roman"/>
          <w:sz w:val="24"/>
          <w:szCs w:val="24"/>
        </w:rPr>
      </w:pPr>
    </w:p>
    <w:p w:rsidR="00DD3D34" w:rsidRPr="000D6E41" w:rsidRDefault="005A20FD" w:rsidP="000D6E41">
      <w:pPr>
        <w:spacing w:after="0" w:line="360" w:lineRule="auto"/>
        <w:jc w:val="both"/>
        <w:rPr>
          <w:rFonts w:ascii="Times New Roman" w:hAnsi="Times New Roman" w:cs="Times New Roman"/>
          <w:b/>
          <w:sz w:val="24"/>
          <w:szCs w:val="24"/>
        </w:rPr>
      </w:pPr>
      <w:r w:rsidRPr="000D6E41">
        <w:rPr>
          <w:rFonts w:ascii="Times New Roman" w:hAnsi="Times New Roman" w:cs="Times New Roman"/>
          <w:b/>
          <w:sz w:val="24"/>
          <w:szCs w:val="24"/>
        </w:rPr>
        <w:t xml:space="preserve">Az Adatkezelő adatai: </w:t>
      </w:r>
    </w:p>
    <w:p w:rsidR="00DD3D34" w:rsidRPr="000D6E41" w:rsidRDefault="002474E9"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Név</w:t>
      </w:r>
      <w:r w:rsidR="005A20FD" w:rsidRPr="000D6E41">
        <w:rPr>
          <w:rFonts w:ascii="Times New Roman" w:hAnsi="Times New Roman" w:cs="Times New Roman"/>
          <w:sz w:val="24"/>
          <w:szCs w:val="24"/>
        </w:rPr>
        <w:t>: </w:t>
      </w:r>
      <w:r w:rsidRPr="000D6E41">
        <w:rPr>
          <w:rFonts w:ascii="Times New Roman" w:hAnsi="Times New Roman" w:cs="Times New Roman"/>
          <w:sz w:val="24"/>
          <w:szCs w:val="24"/>
        </w:rPr>
        <w:t>Mozdulat TKKSE</w:t>
      </w:r>
      <w:r w:rsidR="005A20FD" w:rsidRPr="000D6E41">
        <w:rPr>
          <w:rFonts w:ascii="Times New Roman" w:hAnsi="Times New Roman" w:cs="Times New Roman"/>
          <w:sz w:val="24"/>
          <w:szCs w:val="24"/>
        </w:rPr>
        <w:t xml:space="preserve"> </w:t>
      </w:r>
    </w:p>
    <w:p w:rsidR="002474E9" w:rsidRPr="000D6E41" w:rsidRDefault="002474E9"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Bírósági nyilvántartási szám: 15-02-0002831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Székhely: 4501 Kemecse, Árpád u. 8. </w:t>
      </w:r>
    </w:p>
    <w:p w:rsidR="002474E9"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Adószám: </w:t>
      </w:r>
      <w:r w:rsidR="002474E9" w:rsidRPr="000D6E41">
        <w:rPr>
          <w:rFonts w:ascii="Times New Roman" w:hAnsi="Times New Roman" w:cs="Times New Roman"/>
          <w:sz w:val="24"/>
          <w:szCs w:val="24"/>
        </w:rPr>
        <w:t>18817856</w:t>
      </w:r>
      <w:r w:rsidRPr="000D6E41">
        <w:rPr>
          <w:rFonts w:ascii="Times New Roman" w:hAnsi="Times New Roman" w:cs="Times New Roman"/>
          <w:sz w:val="24"/>
          <w:szCs w:val="24"/>
        </w:rPr>
        <w:t xml:space="preserve">-1-15 </w:t>
      </w:r>
    </w:p>
    <w:p w:rsidR="000D6E41" w:rsidRPr="000D6E41" w:rsidRDefault="000D6E41" w:rsidP="000D6E41">
      <w:pPr>
        <w:spacing w:after="0" w:line="360" w:lineRule="auto"/>
        <w:jc w:val="both"/>
        <w:rPr>
          <w:rFonts w:ascii="Times New Roman" w:hAnsi="Times New Roman" w:cs="Times New Roman"/>
          <w:sz w:val="24"/>
          <w:szCs w:val="24"/>
        </w:rPr>
      </w:pPr>
    </w:p>
    <w:p w:rsidR="002474E9"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Adatkezelő a rendelkezésére bocsátott személyes adatokat minden esetben a hatályos magyar és európai jogszabályoknak és etikai elvárásoknak eleget téve kezeli, minden esetben megteszi azokat a technikai és szervezési intézkedéseket, amelyek a megfelelő biztonságos adatkezeléshez szükségesek.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jelen szabályzat a következő hatályos jogszabályok figyelembevételével készült: </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1995. évi CXIX. tv. a kutatás és a közvetlen üzletszerzés célját szolgáló név- és lakcímadatok kezeléséről</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2001. évi CVIII. tv. az elektronikus kereskedelmi szolgáltatások, valamint az információs társadalommal összefüggő szolgáltatások egyes kérdéseiről</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2008. évi XLVIII. tv. a gazdasági reklámtevékenység alapvető feltételeiről és egyes korlátairól</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2011. évi CXII. tv az információs önrendelkezési jogról és az információszabadságról</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2016/679/EU Rendelet (2016. április 27.) a természetes személyeknek a személyes adatok kezelése tekintetében történő védelméről és az ilyen adatok szabad áramlásáról, valamint a 95/46/EK Rendelet hatályon kívül helyezéséről</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Adatkezelő vállalja a jelen szabályzat egyoldalú betartását és kéri – ho</w:t>
      </w:r>
      <w:r w:rsidR="002474E9" w:rsidRPr="000D6E41">
        <w:rPr>
          <w:rFonts w:ascii="Times New Roman" w:hAnsi="Times New Roman" w:cs="Times New Roman"/>
          <w:sz w:val="24"/>
          <w:szCs w:val="24"/>
        </w:rPr>
        <w:t>nlapján elérhető közleményben -</w:t>
      </w:r>
      <w:r w:rsidRPr="000D6E41">
        <w:rPr>
          <w:rFonts w:ascii="Times New Roman" w:hAnsi="Times New Roman" w:cs="Times New Roman"/>
          <w:sz w:val="24"/>
          <w:szCs w:val="24"/>
        </w:rPr>
        <w:t xml:space="preserve">, hogy ügyfelei is fogadják el a szabályzat rendelkezéseit. Az Adatkezelő fenntartja magának a jogot, hogy az adatvédelmi szabályzatát megváltoztassa. Amennyiben a szabályzat módosítására sor kerül, úgy annak aktualizált szövegét nyilvánosan közzéteszi. </w:t>
      </w:r>
    </w:p>
    <w:p w:rsidR="000D6E41" w:rsidRDefault="000D6E41" w:rsidP="000D6E41">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sz w:val="24"/>
          <w:szCs w:val="24"/>
        </w:rPr>
        <w:lastRenderedPageBreak/>
        <w:t xml:space="preserve">2. ÉRTELMEZŐ RENDELKEZÉSEK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Szabályzatunkban az adatvédelmi szakkifejezések a következő jelentéssel bírnak: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adatállomány</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egy nyilvántartásban kezelt adatok összessége;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adatfeldolgozó</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 természetes vagy jogi személy, illetve jogi személyiséggel nem rendelkező szervezet, aki, vagy amely szerződés alapján - beleértve a jogszabály rendelkezése alapján kötött szerződést is - adatok feldolgozását végzi;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adatfelelős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 közfeladatot ellátó szerv, amely az elektronikus úton kötelezően közzéteendő közérdekű adatot előállította, illetve amelynek a működése során ez az adat keletkezett;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xml:space="preserve">- adatkezelés: </w:t>
      </w:r>
      <w:r w:rsidRPr="000D6E41">
        <w:rPr>
          <w:rFonts w:ascii="Times New Roman" w:hAnsi="Times New Roman" w:cs="Times New Roman"/>
          <w:sz w:val="24"/>
          <w:szCs w:val="24"/>
        </w:rPr>
        <w:t xml:space="preserve">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rögzítése;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adatkezelő</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adatközlő</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 közfeladatot ellátó szerv, amely - ha az adatfelelős nem maga teszi közzé az adatot - az adatfelelős által hozzá eljuttatott adatot honlapon közzéteszi;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adatmegjelölés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 azonosító jelzéssel ellátása annak megkülönböztetése céljából;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adattovábbítás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 meghatározott harmadik személy számára történő hozzáférhetővé tétele;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adattörlés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 felismerhetetlenné tétele oly módon, hogy a helyreállítása többé nem lehetséges;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adatvédelmi incidens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személyes adat jogellenes kezelése vagy feldolgozása, így különösen a jogosulatlan hozzáférés, megváltoztatás, továbbítás, nyilvánosságra hozatal, törlés vagy megsemmisítés, valamint a véletlen megsemmisülés és sérülés.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adatzárolás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 azonosító jelzéssel ellátása további kezelésének végleges vagy meghatározott időre történő korlátozása céljából;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bűnügyi személyes adat</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 büntetőeljárás során vagy azt megelőzően a bűncselekménnyel vagy a büntetőeljárással összefüggésben, a büntetőeljárás lefolytatására, illetve a </w:t>
      </w:r>
      <w:r w:rsidRPr="000D6E41">
        <w:rPr>
          <w:rFonts w:ascii="Times New Roman" w:hAnsi="Times New Roman" w:cs="Times New Roman"/>
          <w:sz w:val="24"/>
          <w:szCs w:val="24"/>
        </w:rPr>
        <w:lastRenderedPageBreak/>
        <w:t xml:space="preserve">bűncselekmények felderítésére jogosult szerveknél, továbbá a büntetés-végrehajtás szervezeténél keletkezett, az érintettel kapcsolatba hozható, valamint a büntetett előéletre vonatkozó személyes adat;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xml:space="preserve">- </w:t>
      </w:r>
      <w:proofErr w:type="spellStart"/>
      <w:r w:rsidRPr="000D6E41">
        <w:rPr>
          <w:rFonts w:ascii="Times New Roman" w:hAnsi="Times New Roman" w:cs="Times New Roman"/>
          <w:b/>
          <w:i/>
          <w:iCs/>
          <w:sz w:val="24"/>
          <w:szCs w:val="24"/>
        </w:rPr>
        <w:t>EGT-állam</w:t>
      </w:r>
      <w:proofErr w:type="spellEnd"/>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xml:space="preserve">- érintett: </w:t>
      </w:r>
      <w:r w:rsidRPr="000D6E41">
        <w:rPr>
          <w:rFonts w:ascii="Times New Roman" w:hAnsi="Times New Roman" w:cs="Times New Roman"/>
          <w:sz w:val="24"/>
          <w:szCs w:val="24"/>
        </w:rPr>
        <w:t xml:space="preserve">bármely meghatározott, személyes adat alapján azonosított vagy - közvetlenül vagy közvetve - azonosítható természetes személy;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 </w:t>
      </w:r>
      <w:r w:rsidRPr="000D6E41">
        <w:rPr>
          <w:rFonts w:ascii="Times New Roman" w:hAnsi="Times New Roman" w:cs="Times New Roman"/>
          <w:b/>
          <w:i/>
          <w:iCs/>
          <w:sz w:val="24"/>
          <w:szCs w:val="24"/>
        </w:rPr>
        <w:t>harmadik ország</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minden olyan állam, amely nem </w:t>
      </w:r>
      <w:proofErr w:type="spellStart"/>
      <w:r w:rsidRPr="000D6E41">
        <w:rPr>
          <w:rFonts w:ascii="Times New Roman" w:hAnsi="Times New Roman" w:cs="Times New Roman"/>
          <w:sz w:val="24"/>
          <w:szCs w:val="24"/>
        </w:rPr>
        <w:t>EGT-állam</w:t>
      </w:r>
      <w:proofErr w:type="spellEnd"/>
      <w:r w:rsidRPr="000D6E41">
        <w:rPr>
          <w:rFonts w:ascii="Times New Roman" w:hAnsi="Times New Roman" w:cs="Times New Roman"/>
          <w:sz w:val="24"/>
          <w:szCs w:val="24"/>
        </w:rPr>
        <w:t xml:space="preserve">;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harmadik személy</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olyan természetes vagy jogi személy, illetve jogi személyiséggel nem rendelkező szervezet, aki, vagy amely nem azonos az érintettel, az adatkezelővel vagy az adatfeldolgozóval;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hozzájárulás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érintett akaratának önkéntes és határozott kinyilvánítása, amely megfelelő tájékoztatáson alapul, és amellyel félreérthetetlen beleegyezését adja a rá vonatkozó személyes adat - teljes körű vagy egyes műveletekre kiterjedő - kezeléséhez;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 - </w:t>
      </w:r>
      <w:r w:rsidRPr="000D6E41">
        <w:rPr>
          <w:rFonts w:ascii="Times New Roman" w:hAnsi="Times New Roman" w:cs="Times New Roman"/>
          <w:b/>
          <w:i/>
          <w:iCs/>
          <w:sz w:val="24"/>
          <w:szCs w:val="24"/>
        </w:rPr>
        <w:t>kötelező szervezeti szabályozás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több országban, de köztük legalább egy </w:t>
      </w:r>
      <w:proofErr w:type="spellStart"/>
      <w:r w:rsidRPr="000D6E41">
        <w:rPr>
          <w:rFonts w:ascii="Times New Roman" w:hAnsi="Times New Roman" w:cs="Times New Roman"/>
          <w:sz w:val="24"/>
          <w:szCs w:val="24"/>
        </w:rPr>
        <w:t>EGT-államban</w:t>
      </w:r>
      <w:proofErr w:type="spellEnd"/>
      <w:r w:rsidRPr="000D6E41">
        <w:rPr>
          <w:rFonts w:ascii="Times New Roman" w:hAnsi="Times New Roman" w:cs="Times New Roman"/>
          <w:sz w:val="24"/>
          <w:szCs w:val="24"/>
        </w:rPr>
        <w:t xml:space="preserve">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közérdekből nyilvános adat</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 közérdekű adat fogalma alá nem tartozó minden olyan adat, amelynek nyilvánosságra hozatalát, megismerhetőségét vagy hozzáférhetővé tételét törvény közérdekből elrendeli;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 - </w:t>
      </w:r>
      <w:r w:rsidRPr="000D6E41">
        <w:rPr>
          <w:rFonts w:ascii="Times New Roman" w:hAnsi="Times New Roman" w:cs="Times New Roman"/>
          <w:b/>
          <w:i/>
          <w:iCs/>
          <w:sz w:val="24"/>
          <w:szCs w:val="24"/>
        </w:rPr>
        <w:t>különleges adat</w:t>
      </w:r>
      <w:r w:rsidRPr="000D6E41">
        <w:rPr>
          <w:rFonts w:ascii="Times New Roman" w:hAnsi="Times New Roman" w:cs="Times New Roman"/>
          <w:i/>
          <w:iCs/>
          <w:sz w:val="24"/>
          <w:szCs w:val="24"/>
        </w:rPr>
        <w:t xml:space="preserve">: </w:t>
      </w:r>
    </w:p>
    <w:p w:rsidR="005B724A" w:rsidRPr="000D6E41" w:rsidRDefault="005B724A" w:rsidP="000D6E41">
      <w:pPr>
        <w:numPr>
          <w:ilvl w:val="0"/>
          <w:numId w:val="3"/>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 faji eredetre, a nemzetiséghez tartozásra, a politikai véleményre vagy pártállásra, a vallásos vagy más világnézeti meggyőződésre, az érdek-képviseleti szervezeti tagságra, a szexuális életre vonatkozó személyes adat,</w:t>
      </w:r>
    </w:p>
    <w:p w:rsidR="005B724A" w:rsidRPr="000D6E41" w:rsidRDefault="005B724A" w:rsidP="000D6E41">
      <w:pPr>
        <w:numPr>
          <w:ilvl w:val="0"/>
          <w:numId w:val="3"/>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egészségi állapotra, a kóros szenvedélyre vonatkozó személyes adat, valamint a bűnügyi személyes adat;</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nyilvánosságra hozatal</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 bárki számára történő hozzáférhetővé tétele;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lastRenderedPageBreak/>
        <w:t>- személyes adat</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 tiltakozás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érintett nyilatkozata, amellyel személyes adatának kezelését kifogásolja, és az adatkezelés megszüntetését, illetve a kezelt adat törlését kéri; </w:t>
      </w:r>
    </w:p>
    <w:p w:rsidR="005B724A" w:rsidRPr="000D6E41" w:rsidRDefault="005B724A" w:rsidP="000D6E41">
      <w:pPr>
        <w:numPr>
          <w:ilvl w:val="0"/>
          <w:numId w:val="3"/>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 faji eredetre, a nemzetiséghez tartozásra, a politikai véleményre vagy pártállásra, a vallásos vagy más világnézeti meggyőződésre, az érdek-képviseleti szervezeti tagságra, a szexuális életre vonatkozó személyes adat,</w:t>
      </w:r>
    </w:p>
    <w:p w:rsidR="005B724A" w:rsidRPr="000D6E41" w:rsidRDefault="005B724A" w:rsidP="000D6E41">
      <w:pPr>
        <w:numPr>
          <w:ilvl w:val="0"/>
          <w:numId w:val="3"/>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 faji eredetre, a nemzetiséghez tartozásra, a politikai véleményre vagy pártállásra, a vallásos vagy más világnézeti meggyőződésre, az érdek-képviseleti szervezeti tagságra, a szexuális életre vonatkozó személyes adat,</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adatfeldolgozás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adatkezelési műveletekhez kapcsolódó technikai feladatok elvégzése, függetlenül a műveletek végrehajtásához alkalmazott módszertől és eszköztől, valamint az alkalmazás helyétől, feltéve hogy a technikai feladatot az adaton végzik; </w:t>
      </w:r>
    </w:p>
    <w:p w:rsidR="005B724A" w:rsidRPr="000D6E41" w:rsidRDefault="005B724A"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 adatmegsemmisítés</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 xml:space="preserve">az adatot tartalmazó adathordozó teljes fizikai megsemmisítése; </w:t>
      </w:r>
    </w:p>
    <w:p w:rsidR="005B724A" w:rsidRPr="000D6E41" w:rsidRDefault="005B724A" w:rsidP="000D6E41">
      <w:pPr>
        <w:numPr>
          <w:ilvl w:val="0"/>
          <w:numId w:val="3"/>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egészségi állapotra, a kóros szenvedélyre vonatkozó személyes adat, valamint a bűnügyi személyes adat.</w:t>
      </w:r>
    </w:p>
    <w:p w:rsidR="005B724A" w:rsidRPr="000D6E41" w:rsidRDefault="005B724A" w:rsidP="000D6E41">
      <w:pPr>
        <w:numPr>
          <w:ilvl w:val="0"/>
          <w:numId w:val="3"/>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egészségi állapotra, a kóros szenvedélyre vonatkozó személyes adat, valamint a bűnügyi személyes adat;</w:t>
      </w:r>
    </w:p>
    <w:p w:rsidR="005B724A" w:rsidRDefault="005B724A" w:rsidP="000D6E41">
      <w:pPr>
        <w:pStyle w:val="Listaszerbekezds"/>
        <w:numPr>
          <w:ilvl w:val="0"/>
          <w:numId w:val="5"/>
        </w:numPr>
        <w:spacing w:after="0" w:line="360" w:lineRule="auto"/>
        <w:jc w:val="both"/>
        <w:rPr>
          <w:rFonts w:ascii="Times New Roman" w:hAnsi="Times New Roman" w:cs="Times New Roman"/>
          <w:sz w:val="24"/>
          <w:szCs w:val="24"/>
        </w:rPr>
      </w:pPr>
      <w:r w:rsidRPr="000D6E41">
        <w:rPr>
          <w:rFonts w:ascii="Times New Roman" w:hAnsi="Times New Roman" w:cs="Times New Roman"/>
          <w:b/>
          <w:i/>
          <w:iCs/>
          <w:sz w:val="24"/>
          <w:szCs w:val="24"/>
        </w:rPr>
        <w:t>közérdekű adat</w:t>
      </w:r>
      <w:r w:rsidRPr="000D6E41">
        <w:rPr>
          <w:rFonts w:ascii="Times New Roman" w:hAnsi="Times New Roman" w:cs="Times New Roman"/>
          <w:i/>
          <w:iCs/>
          <w:sz w:val="24"/>
          <w:szCs w:val="24"/>
        </w:rPr>
        <w:t xml:space="preserve">: </w:t>
      </w:r>
      <w:r w:rsidRPr="000D6E41">
        <w:rPr>
          <w:rFonts w:ascii="Times New Roman" w:hAnsi="Times New Roman" w:cs="Times New Roman"/>
          <w:sz w:val="24"/>
          <w:szCs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w:t>
      </w:r>
      <w:r w:rsidR="000D6E41">
        <w:rPr>
          <w:rFonts w:ascii="Times New Roman" w:hAnsi="Times New Roman" w:cs="Times New Roman"/>
          <w:sz w:val="24"/>
          <w:szCs w:val="24"/>
        </w:rPr>
        <w:t>t szerződésekre vonatkozó adat.</w:t>
      </w:r>
    </w:p>
    <w:p w:rsidR="000D6E41" w:rsidRDefault="000D6E41">
      <w:pPr>
        <w:rPr>
          <w:rFonts w:ascii="Times New Roman" w:hAnsi="Times New Roman" w:cs="Times New Roman"/>
          <w:sz w:val="24"/>
          <w:szCs w:val="24"/>
        </w:rPr>
      </w:pPr>
      <w:r>
        <w:rPr>
          <w:rFonts w:ascii="Times New Roman" w:hAnsi="Times New Roman" w:cs="Times New Roman"/>
          <w:sz w:val="24"/>
          <w:szCs w:val="24"/>
        </w:rPr>
        <w:br w:type="page"/>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sz w:val="24"/>
          <w:szCs w:val="24"/>
        </w:rPr>
        <w:lastRenderedPageBreak/>
        <w:t xml:space="preserve">3. ADATKEZELÉSI ALEPELVEK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Csak olyan személyes adat kezelhető, amely az adatkezelés céljának megvalósulásához elengedhetetlen, a cél elérésére alkalmas. A személyes adat csak a cél megvalósulásához szükséges mértékben és ideig kezelhető.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személyes adatok kezelését tisztességesnek és törvényesnek kell 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Személyes adat akkor kezelhető, ha ahhoz az érintett hozzájárul, vagy azt törvény vagy - törvény felhatalmazása alapján, az abban meghatározott körben - helyi önkormányzat rendelete közérdeken alapuló célból elrendeli (kötelező adatkezelés).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Személyes adatot kezelni csak meghatározott célból, jog gyakorlása és kötelezettség teljesítése érdekében lehet. Az adatkezelésnek minden szakaszában meg kell felelnie e célnak.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Csak olyan személyes adat kezelhető, amely az adatkezelés céljának megvalósulásához elengedhetetlen, a cél elérésére alkalmas, csak a célmegvalósulásához szükséges mértékben és ideig. A személyes adatok akkor továbbíthatók, valamint a különböző adatkezelések akkor kapcsolhatók össze, ha az érintett ahhoz hozzájárult, vagy törvény azt megengedi, és ha az adatkezelés feltételei minden egyes személyes adatra nézve teljesülnek.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Személyes adat az országból – az adathordozótól vagy az adatátvitel módjától függetlenül – harmadik országban lévő adatkezelő vagy adatfeldolgozó részére akkor továbbítható, ha ahhoz az érintett kifejezetten hozzá- járult, vagy azt törvény lehetővé teszi, és a harmadik országban az átadott adatok kezelése, illetőleg feldolgozása során biztosított a személyes adatok </w:t>
      </w:r>
      <w:r w:rsidRPr="000D6E41">
        <w:rPr>
          <w:rFonts w:ascii="Times New Roman" w:hAnsi="Times New Roman" w:cs="Times New Roman"/>
          <w:sz w:val="24"/>
          <w:szCs w:val="24"/>
        </w:rPr>
        <w:lastRenderedPageBreak/>
        <w:t xml:space="preserve">megfelelő szintű védelme. Kötelező adatkezelés esetén az adatkezelés célját és feltételeit, a kezelendő adatok körét és megismerhetőségét, az adatkezelés időtartamát, valamint az adatkezelő személyét az adatkezelést elrendelő törvény vagy ön- kormányzati rendelet határozza meg. Törvény közérdekből – az adatok körének kifejezett megjelölésével – elrendelheti a személyes adat nyilvánosságra hozatalát. Minden egyéb esetben a nyilvánosságra hozatalhoz az érintett hozzájárulása, különleges adat esetében írásbeli hozzájárulása szükséges.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érintett kérelmére indult eljárásban a szükséges adatainak kezeléséhez való hozzájárulását vélelmezni kell. Erre a tényre az érintett figyelmét fel kell hívni.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érintett a hozzájárulását az Adatkezelővel írásban kötött szerződés keretében is megadhatja a szerződésben foglaltak teljesítése céljából. Ebben az esetben a szerződésnek tartalmaznia kell minden olyan információt, amelyet a személyes adatok kezelése szempontjából az érintettnek ismernie kell, így különösen a kezelendő adatok meghatározását, az adatkezelés időtartamát, a felhasználás célját, az adatok továbbítását, adatfeldolgozó igénybevételét.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szerződésnek félreérthetetlen módon tartalmaznia kell, hogy az érintett aláírásával hozzájárul adatainak a szerződésben meghatározottak szerinti kezeléséhez. A személyes adatok védelméhez fűződő jogot és az érintett személyiségi jogait – ha törvény kivételt nem tesz </w:t>
      </w:r>
    </w:p>
    <w:p w:rsidR="00DD3D34"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 az adatkezeléshez fűződő más érdekek, ideértve a közérdekű adatok nyilvánosságát is, nem sérthetik. </w:t>
      </w:r>
    </w:p>
    <w:p w:rsidR="000D6E41" w:rsidRPr="000D6E41" w:rsidRDefault="000D6E41" w:rsidP="000D6E41">
      <w:pPr>
        <w:spacing w:after="0" w:line="360" w:lineRule="auto"/>
        <w:jc w:val="both"/>
        <w:rPr>
          <w:rFonts w:ascii="Times New Roman" w:hAnsi="Times New Roman" w:cs="Times New Roman"/>
          <w:sz w:val="24"/>
          <w:szCs w:val="24"/>
        </w:rPr>
      </w:pPr>
    </w:p>
    <w:p w:rsidR="00DD3D34" w:rsidRDefault="005A20FD" w:rsidP="000D6E41">
      <w:pPr>
        <w:spacing w:after="0" w:line="360" w:lineRule="auto"/>
        <w:jc w:val="both"/>
        <w:rPr>
          <w:rFonts w:ascii="Times New Roman" w:hAnsi="Times New Roman" w:cs="Times New Roman"/>
          <w:b/>
          <w:sz w:val="24"/>
          <w:szCs w:val="24"/>
        </w:rPr>
      </w:pPr>
      <w:r w:rsidRPr="000D6E41">
        <w:rPr>
          <w:rFonts w:ascii="Times New Roman" w:hAnsi="Times New Roman" w:cs="Times New Roman"/>
          <w:b/>
          <w:sz w:val="24"/>
          <w:szCs w:val="24"/>
        </w:rPr>
        <w:t xml:space="preserve">4. AZ ADATKEZELÉS ALAPJAI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Adatkezelő a tevékenységei során a személyes adatok kezelése minden esetben törvényen vagy önkéntes hozzájáruláson alapul. Egyes esetekben az adatkezelés, hozzájárulás hiányában egyéb jogalapon vagy a 2011. évi CXII. törvény 6.§</w:t>
      </w:r>
      <w:proofErr w:type="spellStart"/>
      <w:r w:rsidRPr="000D6E41">
        <w:rPr>
          <w:rFonts w:ascii="Times New Roman" w:hAnsi="Times New Roman" w:cs="Times New Roman"/>
          <w:sz w:val="24"/>
          <w:szCs w:val="24"/>
        </w:rPr>
        <w:t>-án</w:t>
      </w:r>
      <w:proofErr w:type="spellEnd"/>
      <w:r w:rsidRPr="000D6E41">
        <w:rPr>
          <w:rFonts w:ascii="Times New Roman" w:hAnsi="Times New Roman" w:cs="Times New Roman"/>
          <w:sz w:val="24"/>
          <w:szCs w:val="24"/>
        </w:rPr>
        <w:t xml:space="preserve"> nyugszik.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sz w:val="24"/>
          <w:szCs w:val="24"/>
        </w:rPr>
        <w:t xml:space="preserve">A weblap látogatóinak adatai esetében: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Adatkezelő az általa üzemeltetett weboldalak látogatásakor sem a felhasználó IP címét, sem más személyes adatot nem rögzít.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Adatkezelő által üzemeltetett weboldalak </w:t>
      </w:r>
      <w:proofErr w:type="spellStart"/>
      <w:r w:rsidRPr="000D6E41">
        <w:rPr>
          <w:rFonts w:ascii="Times New Roman" w:hAnsi="Times New Roman" w:cs="Times New Roman"/>
          <w:sz w:val="24"/>
          <w:szCs w:val="24"/>
        </w:rPr>
        <w:t>html</w:t>
      </w:r>
      <w:proofErr w:type="spellEnd"/>
      <w:r w:rsidRPr="000D6E41">
        <w:rPr>
          <w:rFonts w:ascii="Times New Roman" w:hAnsi="Times New Roman" w:cs="Times New Roman"/>
          <w:sz w:val="24"/>
          <w:szCs w:val="24"/>
        </w:rPr>
        <w:t xml:space="preserve"> kódja </w:t>
      </w:r>
      <w:proofErr w:type="spellStart"/>
      <w:r w:rsidRPr="000D6E41">
        <w:rPr>
          <w:rFonts w:ascii="Times New Roman" w:hAnsi="Times New Roman" w:cs="Times New Roman"/>
          <w:sz w:val="24"/>
          <w:szCs w:val="24"/>
        </w:rPr>
        <w:t>webanalitikai</w:t>
      </w:r>
      <w:proofErr w:type="spellEnd"/>
      <w:r w:rsidRPr="000D6E41">
        <w:rPr>
          <w:rFonts w:ascii="Times New Roman" w:hAnsi="Times New Roman" w:cs="Times New Roman"/>
          <w:sz w:val="24"/>
          <w:szCs w:val="24"/>
        </w:rPr>
        <w:t xml:space="preserve"> mérések céljából független, külső szerverről érkező és külső szerverre mutató hivatkozásokat tartalmazhat. A mérés kiterjed a konverziók követésére is. A </w:t>
      </w:r>
      <w:proofErr w:type="spellStart"/>
      <w:r w:rsidRPr="000D6E41">
        <w:rPr>
          <w:rFonts w:ascii="Times New Roman" w:hAnsi="Times New Roman" w:cs="Times New Roman"/>
          <w:sz w:val="24"/>
          <w:szCs w:val="24"/>
        </w:rPr>
        <w:t>webanalitikai</w:t>
      </w:r>
      <w:proofErr w:type="spellEnd"/>
      <w:r w:rsidRPr="000D6E41">
        <w:rPr>
          <w:rFonts w:ascii="Times New Roman" w:hAnsi="Times New Roman" w:cs="Times New Roman"/>
          <w:sz w:val="24"/>
          <w:szCs w:val="24"/>
        </w:rPr>
        <w:t xml:space="preserve"> szolgáltató személyes adatokat </w:t>
      </w:r>
      <w:r w:rsidRPr="000D6E41">
        <w:rPr>
          <w:rFonts w:ascii="Times New Roman" w:hAnsi="Times New Roman" w:cs="Times New Roman"/>
          <w:sz w:val="24"/>
          <w:szCs w:val="24"/>
        </w:rPr>
        <w:lastRenderedPageBreak/>
        <w:t xml:space="preserve">nem, csak a böngészéssel kapcsolatos, az egyes egyének beazonosítására nem alkalmas adatokat kezel. </w:t>
      </w:r>
    </w:p>
    <w:p w:rsidR="00DD3D34" w:rsidRPr="000D6E41" w:rsidRDefault="005A20FD" w:rsidP="000D6E41">
      <w:pPr>
        <w:spacing w:after="0" w:line="360" w:lineRule="auto"/>
        <w:jc w:val="both"/>
        <w:rPr>
          <w:rFonts w:ascii="Times New Roman" w:hAnsi="Times New Roman" w:cs="Times New Roman"/>
          <w:sz w:val="24"/>
          <w:szCs w:val="24"/>
        </w:rPr>
      </w:pPr>
      <w:bookmarkStart w:id="0" w:name="_GoBack"/>
      <w:bookmarkEnd w:id="0"/>
      <w:r w:rsidRPr="000D6E41">
        <w:rPr>
          <w:rFonts w:ascii="Times New Roman" w:hAnsi="Times New Roman" w:cs="Times New Roman"/>
          <w:b/>
          <w:sz w:val="24"/>
          <w:szCs w:val="24"/>
        </w:rPr>
        <w:t xml:space="preserve">Adatvédelmi technikai megoldás leírása: </w:t>
      </w:r>
    </w:p>
    <w:p w:rsidR="00DD3D34" w:rsidRPr="000D6E41" w:rsidRDefault="005A20FD" w:rsidP="000D6E41">
      <w:pPr>
        <w:spacing w:after="0" w:line="360" w:lineRule="auto"/>
        <w:jc w:val="both"/>
        <w:rPr>
          <w:rFonts w:ascii="Times New Roman" w:hAnsi="Times New Roman" w:cs="Times New Roman"/>
          <w:sz w:val="24"/>
          <w:szCs w:val="24"/>
        </w:rPr>
      </w:pPr>
      <w:proofErr w:type="gramStart"/>
      <w:r w:rsidRPr="000D6E41">
        <w:rPr>
          <w:rFonts w:ascii="Times New Roman" w:hAnsi="Times New Roman" w:cs="Times New Roman"/>
          <w:sz w:val="24"/>
          <w:szCs w:val="24"/>
        </w:rPr>
        <w:t>az</w:t>
      </w:r>
      <w:proofErr w:type="gramEnd"/>
      <w:r w:rsidRPr="000D6E41">
        <w:rPr>
          <w:rFonts w:ascii="Times New Roman" w:hAnsi="Times New Roman" w:cs="Times New Roman"/>
          <w:sz w:val="24"/>
          <w:szCs w:val="24"/>
        </w:rPr>
        <w:t xml:space="preserve"> Adatkezelő a </w:t>
      </w:r>
      <w:proofErr w:type="spellStart"/>
      <w:r w:rsidRPr="000D6E41">
        <w:rPr>
          <w:rFonts w:ascii="Times New Roman" w:hAnsi="Times New Roman" w:cs="Times New Roman"/>
          <w:sz w:val="24"/>
          <w:szCs w:val="24"/>
        </w:rPr>
        <w:t>Facebook</w:t>
      </w:r>
      <w:proofErr w:type="spellEnd"/>
      <w:r w:rsidRPr="000D6E41">
        <w:rPr>
          <w:rFonts w:ascii="Times New Roman" w:hAnsi="Times New Roman" w:cs="Times New Roman"/>
          <w:sz w:val="24"/>
          <w:szCs w:val="24"/>
        </w:rPr>
        <w:t xml:space="preserve"> és a </w:t>
      </w:r>
      <w:proofErr w:type="spellStart"/>
      <w:r w:rsidRPr="000D6E41">
        <w:rPr>
          <w:rFonts w:ascii="Times New Roman" w:hAnsi="Times New Roman" w:cs="Times New Roman"/>
          <w:sz w:val="24"/>
          <w:szCs w:val="24"/>
        </w:rPr>
        <w:t>Google</w:t>
      </w:r>
      <w:proofErr w:type="spellEnd"/>
      <w:r w:rsidRPr="000D6E41">
        <w:rPr>
          <w:rFonts w:ascii="Times New Roman" w:hAnsi="Times New Roman" w:cs="Times New Roman"/>
          <w:sz w:val="24"/>
          <w:szCs w:val="24"/>
        </w:rPr>
        <w:t xml:space="preserve"> </w:t>
      </w:r>
      <w:proofErr w:type="spellStart"/>
      <w:r w:rsidRPr="000D6E41">
        <w:rPr>
          <w:rFonts w:ascii="Times New Roman" w:hAnsi="Times New Roman" w:cs="Times New Roman"/>
          <w:sz w:val="24"/>
          <w:szCs w:val="24"/>
        </w:rPr>
        <w:t>AdWords</w:t>
      </w:r>
      <w:proofErr w:type="spellEnd"/>
      <w:r w:rsidRPr="000D6E41">
        <w:rPr>
          <w:rFonts w:ascii="Times New Roman" w:hAnsi="Times New Roman" w:cs="Times New Roman"/>
          <w:sz w:val="24"/>
          <w:szCs w:val="24"/>
        </w:rPr>
        <w:t xml:space="preserve"> hirdetési rendszerein keresztül ún. </w:t>
      </w:r>
      <w:proofErr w:type="spellStart"/>
      <w:r w:rsidRPr="000D6E41">
        <w:rPr>
          <w:rFonts w:ascii="Times New Roman" w:hAnsi="Times New Roman" w:cs="Times New Roman"/>
          <w:sz w:val="24"/>
          <w:szCs w:val="24"/>
        </w:rPr>
        <w:t>remarketing</w:t>
      </w:r>
      <w:proofErr w:type="spellEnd"/>
      <w:r w:rsidRPr="000D6E41">
        <w:rPr>
          <w:rFonts w:ascii="Times New Roman" w:hAnsi="Times New Roman" w:cs="Times New Roman"/>
          <w:sz w:val="24"/>
          <w:szCs w:val="24"/>
        </w:rPr>
        <w:t xml:space="preserve"> hirdetéseket futtat. Ezek a szolgáltatók </w:t>
      </w:r>
      <w:proofErr w:type="spellStart"/>
      <w:r w:rsidRPr="000D6E41">
        <w:rPr>
          <w:rFonts w:ascii="Times New Roman" w:hAnsi="Times New Roman" w:cs="Times New Roman"/>
          <w:sz w:val="24"/>
          <w:szCs w:val="24"/>
        </w:rPr>
        <w:t>cookie-k</w:t>
      </w:r>
      <w:proofErr w:type="spellEnd"/>
      <w:r w:rsidRPr="000D6E41">
        <w:rPr>
          <w:rFonts w:ascii="Times New Roman" w:hAnsi="Times New Roman" w:cs="Times New Roman"/>
          <w:sz w:val="24"/>
          <w:szCs w:val="24"/>
        </w:rPr>
        <w:t xml:space="preserve">, webes jelzők és hasonló technológiák használatával gyűjthetnek vagy kaphatnak adatokat az Adatkezelő weboldaláról és egyéb internetes helyekről. Ezen adatok felhasználásával mérési szolgáltatásokat nyújtanak, illetve hirdetéseket tesznek célzottá: ezek a </w:t>
      </w:r>
      <w:proofErr w:type="spellStart"/>
      <w:r w:rsidRPr="000D6E41">
        <w:rPr>
          <w:rFonts w:ascii="Times New Roman" w:hAnsi="Times New Roman" w:cs="Times New Roman"/>
          <w:sz w:val="24"/>
          <w:szCs w:val="24"/>
        </w:rPr>
        <w:t>Facebook</w:t>
      </w:r>
      <w:proofErr w:type="spellEnd"/>
      <w:r w:rsidRPr="000D6E41">
        <w:rPr>
          <w:rFonts w:ascii="Times New Roman" w:hAnsi="Times New Roman" w:cs="Times New Roman"/>
          <w:sz w:val="24"/>
          <w:szCs w:val="24"/>
        </w:rPr>
        <w:t xml:space="preserve"> és a </w:t>
      </w:r>
      <w:proofErr w:type="spellStart"/>
      <w:r w:rsidRPr="000D6E41">
        <w:rPr>
          <w:rFonts w:ascii="Times New Roman" w:hAnsi="Times New Roman" w:cs="Times New Roman"/>
          <w:sz w:val="24"/>
          <w:szCs w:val="24"/>
        </w:rPr>
        <w:t>Google</w:t>
      </w:r>
      <w:proofErr w:type="spellEnd"/>
      <w:r w:rsidRPr="000D6E41">
        <w:rPr>
          <w:rFonts w:ascii="Times New Roman" w:hAnsi="Times New Roman" w:cs="Times New Roman"/>
          <w:sz w:val="24"/>
          <w:szCs w:val="24"/>
        </w:rPr>
        <w:t xml:space="preserve"> partnerhálózatában szereplő további weboldalakon jelenhetnek meg. A </w:t>
      </w:r>
      <w:proofErr w:type="spellStart"/>
      <w:r w:rsidRPr="000D6E41">
        <w:rPr>
          <w:rFonts w:ascii="Times New Roman" w:hAnsi="Times New Roman" w:cs="Times New Roman"/>
          <w:sz w:val="24"/>
          <w:szCs w:val="24"/>
        </w:rPr>
        <w:t>remarketing</w:t>
      </w:r>
      <w:proofErr w:type="spellEnd"/>
      <w:r w:rsidRPr="000D6E41">
        <w:rPr>
          <w:rFonts w:ascii="Times New Roman" w:hAnsi="Times New Roman" w:cs="Times New Roman"/>
          <w:sz w:val="24"/>
          <w:szCs w:val="24"/>
        </w:rPr>
        <w:t xml:space="preserve"> listák a látogató személyes adatait nem tartalmazzák, személyazonosításra nem alkalmasak.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w:t>
      </w:r>
      <w:proofErr w:type="spellStart"/>
      <w:r w:rsidRPr="000D6E41">
        <w:rPr>
          <w:rFonts w:ascii="Times New Roman" w:hAnsi="Times New Roman" w:cs="Times New Roman"/>
          <w:sz w:val="24"/>
          <w:szCs w:val="24"/>
        </w:rPr>
        <w:t>cookie-k</w:t>
      </w:r>
      <w:proofErr w:type="spellEnd"/>
      <w:r w:rsidRPr="000D6E41">
        <w:rPr>
          <w:rFonts w:ascii="Times New Roman" w:hAnsi="Times New Roman" w:cs="Times New Roman"/>
          <w:sz w:val="24"/>
          <w:szCs w:val="24"/>
        </w:rPr>
        <w:t xml:space="preserve"> használatát a felhasználó saját számítógépéről törölni tudja, illetve a böngészőjében eleve megtilthatja alkalmazásukat. Ezek a lehetőségek böngészőtől függően, de jellemzően a Beállítások / Adatvédelem menüpontban érhetőek el.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További információ a </w:t>
      </w:r>
      <w:proofErr w:type="spellStart"/>
      <w:r w:rsidRPr="000D6E41">
        <w:rPr>
          <w:rFonts w:ascii="Times New Roman" w:hAnsi="Times New Roman" w:cs="Times New Roman"/>
          <w:sz w:val="24"/>
          <w:szCs w:val="24"/>
        </w:rPr>
        <w:t>Google</w:t>
      </w:r>
      <w:proofErr w:type="spellEnd"/>
      <w:r w:rsidRPr="000D6E41">
        <w:rPr>
          <w:rFonts w:ascii="Times New Roman" w:hAnsi="Times New Roman" w:cs="Times New Roman"/>
          <w:sz w:val="24"/>
          <w:szCs w:val="24"/>
        </w:rPr>
        <w:t xml:space="preserve"> és a </w:t>
      </w:r>
      <w:proofErr w:type="spellStart"/>
      <w:r w:rsidRPr="000D6E41">
        <w:rPr>
          <w:rFonts w:ascii="Times New Roman" w:hAnsi="Times New Roman" w:cs="Times New Roman"/>
          <w:sz w:val="24"/>
          <w:szCs w:val="24"/>
        </w:rPr>
        <w:t>Facebok</w:t>
      </w:r>
      <w:proofErr w:type="spellEnd"/>
      <w:r w:rsidRPr="000D6E41">
        <w:rPr>
          <w:rFonts w:ascii="Times New Roman" w:hAnsi="Times New Roman" w:cs="Times New Roman"/>
          <w:sz w:val="24"/>
          <w:szCs w:val="24"/>
        </w:rPr>
        <w:t xml:space="preserve"> adatvédelmi irányelveiről az alábbi elérhetőségeken olvasható: </w:t>
      </w:r>
    </w:p>
    <w:p w:rsidR="00DD3D34" w:rsidRPr="000D6E41" w:rsidRDefault="005A20FD" w:rsidP="000D6E41">
      <w:pPr>
        <w:spacing w:after="0" w:line="360" w:lineRule="auto"/>
        <w:jc w:val="both"/>
        <w:rPr>
          <w:rFonts w:ascii="Times New Roman" w:hAnsi="Times New Roman" w:cs="Times New Roman"/>
          <w:sz w:val="24"/>
          <w:szCs w:val="24"/>
        </w:rPr>
      </w:pPr>
      <w:proofErr w:type="gramStart"/>
      <w:r w:rsidRPr="000D6E41">
        <w:rPr>
          <w:rFonts w:ascii="Times New Roman" w:hAnsi="Times New Roman" w:cs="Times New Roman"/>
          <w:sz w:val="24"/>
          <w:szCs w:val="24"/>
        </w:rPr>
        <w:t>http</w:t>
      </w:r>
      <w:proofErr w:type="gramEnd"/>
      <w:r w:rsidRPr="000D6E41">
        <w:rPr>
          <w:rFonts w:ascii="Times New Roman" w:hAnsi="Times New Roman" w:cs="Times New Roman"/>
          <w:sz w:val="24"/>
          <w:szCs w:val="24"/>
        </w:rPr>
        <w:t xml:space="preserve">://www.google.com/privacy.html és https://www.facebook.com/about/privacy/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sz w:val="24"/>
          <w:szCs w:val="24"/>
        </w:rPr>
        <w:t xml:space="preserve">Hírlevél  </w:t>
      </w:r>
    </w:p>
    <w:p w:rsidR="00DD3D34" w:rsidRPr="000D6E41" w:rsidRDefault="005A20FD" w:rsidP="000D6E41">
      <w:pPr>
        <w:spacing w:after="0" w:line="360" w:lineRule="auto"/>
        <w:jc w:val="both"/>
        <w:rPr>
          <w:rFonts w:ascii="Times New Roman" w:hAnsi="Times New Roman" w:cs="Times New Roman"/>
          <w:sz w:val="24"/>
          <w:szCs w:val="24"/>
        </w:rPr>
      </w:pPr>
      <w:r w:rsidRPr="00EA52C8">
        <w:rPr>
          <w:rFonts w:ascii="Times New Roman" w:hAnsi="Times New Roman" w:cs="Times New Roman"/>
          <w:sz w:val="24"/>
          <w:szCs w:val="24"/>
        </w:rPr>
        <w:t xml:space="preserve">Az Adatkezelő az általa üzemeltetett honlapok hírleveleire való feliratkozóknak (más néven VIP tagoknak) általában havonta, de hetente legfeljebb két alkalommal újdonságokat, híreket és üzleti ajánlatokat tartalmazó online hírleveleket és elektronikus úton direkt marketing üzeneteket kézbesít. A hírlevélre való feliratkozáshoz a név és e-mail cím megadása kötelező, </w:t>
      </w:r>
      <w:r w:rsidRPr="000D6E41">
        <w:rPr>
          <w:rFonts w:ascii="Times New Roman" w:hAnsi="Times New Roman" w:cs="Times New Roman"/>
          <w:sz w:val="24"/>
          <w:szCs w:val="24"/>
        </w:rPr>
        <w:t xml:space="preserve">ami elengedhetetlen az üzenetek kézbesítéséhez.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adatokat mindaddig kezeljük, ameddig azok törlését az érintett nem kéri. A leiratkozás lehetőségét minden hírlevélben egy közvetlen link biztosítja. A megadott személyes adatok valódiságáért a felhasználó felel.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könyvviteli elszámolást közvetlenül és közvetetten alátámasztó számviteli bizonylatot (a főkönyvi számlákat, az analitikus, illetve részletező nyilvántartásokat is ideértve), legalább 8 évig kell olvasható formában, a könyvelési feljegyzések hivatkozása alapján visszakereshető módon megőrizni.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adatok megismerésére jogosult lehetséges adatkezelők személye: A személyes adatokat az adatkezelő munkatársai kezelhetik, a fenti alapelvek keretei között. </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b/>
          <w:sz w:val="24"/>
          <w:szCs w:val="24"/>
        </w:rPr>
        <w:t xml:space="preserve">5. AZ ADATKEZELÉS BIZTONSÁGA </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b/>
          <w:sz w:val="24"/>
          <w:szCs w:val="24"/>
        </w:rPr>
        <w:t xml:space="preserve">A weboldal üzemeltetője: </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lastRenderedPageBreak/>
        <w:t>Cég: </w:t>
      </w:r>
      <w:r w:rsidR="005B724A" w:rsidRPr="00431756">
        <w:rPr>
          <w:rFonts w:ascii="Times New Roman" w:hAnsi="Times New Roman" w:cs="Times New Roman"/>
          <w:sz w:val="24"/>
          <w:szCs w:val="24"/>
        </w:rPr>
        <w:t>Mozdulat TKKSE</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 xml:space="preserve">Székhely:  4501 Kemecse, Árpád u. 8. </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 xml:space="preserve">Elektronikus levélcím:  </w:t>
      </w:r>
      <w:r w:rsidR="005B724A" w:rsidRPr="00431756">
        <w:rPr>
          <w:rFonts w:ascii="Times New Roman" w:hAnsi="Times New Roman" w:cs="Times New Roman"/>
          <w:sz w:val="24"/>
          <w:szCs w:val="24"/>
        </w:rPr>
        <w:t>tkksemozdulat@gmail.com</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b/>
          <w:sz w:val="24"/>
          <w:szCs w:val="24"/>
        </w:rPr>
        <w:t xml:space="preserve">Hírlevél küldés esetében: </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 xml:space="preserve">Hírlevél küldés részletei: </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 xml:space="preserve">Hírlevél küldés </w:t>
      </w:r>
      <w:r w:rsidR="005B724A" w:rsidRPr="00431756">
        <w:rPr>
          <w:rFonts w:ascii="Times New Roman" w:hAnsi="Times New Roman" w:cs="Times New Roman"/>
          <w:sz w:val="24"/>
          <w:szCs w:val="24"/>
        </w:rPr>
        <w:t>a Mozdulat TKKSE</w:t>
      </w:r>
      <w:r w:rsidRPr="00431756">
        <w:rPr>
          <w:rFonts w:ascii="Times New Roman" w:hAnsi="Times New Roman" w:cs="Times New Roman"/>
          <w:sz w:val="24"/>
          <w:szCs w:val="24"/>
        </w:rPr>
        <w:t xml:space="preserve">  szervereiről történik. </w:t>
      </w:r>
    </w:p>
    <w:p w:rsidR="005B724A"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 xml:space="preserve">Székhely: 4501 Kemecse, Árpád u. 8. </w:t>
      </w:r>
    </w:p>
    <w:p w:rsidR="005B724A"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Telefon: </w:t>
      </w:r>
      <w:r w:rsidR="00431756">
        <w:rPr>
          <w:rFonts w:ascii="Times New Roman" w:hAnsi="Times New Roman" w:cs="Times New Roman"/>
          <w:sz w:val="24"/>
          <w:szCs w:val="24"/>
        </w:rPr>
        <w:t>(70) 416-7139</w:t>
      </w:r>
    </w:p>
    <w:p w:rsidR="00DD3D34" w:rsidRPr="00431756" w:rsidRDefault="005A20FD" w:rsidP="000D6E41">
      <w:pPr>
        <w:spacing w:after="0" w:line="360" w:lineRule="auto"/>
        <w:jc w:val="both"/>
        <w:rPr>
          <w:rFonts w:ascii="Times New Roman" w:hAnsi="Times New Roman" w:cs="Times New Roman"/>
          <w:sz w:val="24"/>
          <w:szCs w:val="24"/>
        </w:rPr>
      </w:pPr>
      <w:r w:rsidRPr="00431756">
        <w:rPr>
          <w:rFonts w:ascii="Times New Roman" w:hAnsi="Times New Roman" w:cs="Times New Roman"/>
          <w:sz w:val="24"/>
          <w:szCs w:val="24"/>
        </w:rPr>
        <w:t xml:space="preserve">Elektronikus levélcím:  </w:t>
      </w:r>
      <w:r w:rsidR="00EA52C8" w:rsidRPr="00431756">
        <w:rPr>
          <w:rFonts w:ascii="Times New Roman" w:hAnsi="Times New Roman" w:cs="Times New Roman"/>
          <w:sz w:val="24"/>
          <w:szCs w:val="24"/>
        </w:rPr>
        <w:t>danceimageproduction@gmail.com</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Adatkezelő az adatokat védi különösen a jogosulatlan hozzáférés, megváltoztatás, továbbítás, nyilvánosságra hozatal, törlés vagy megsemmisítés, valamint a véletlen megsemmisülés és sérülés ellen. Az Adatkezelő a szerver üzemeltetőivel együtt olyan technikai, szervezési és szervezeti intézkedésekkel gondoskodik az adatok biztonságáról, ami az adatkezeléssel kapcsolatban jelentkező kockázatoknak megfelelő védelmi szintet nyújt. </w:t>
      </w:r>
    </w:p>
    <w:p w:rsidR="005B724A" w:rsidRPr="000D6E41" w:rsidRDefault="005B724A" w:rsidP="000D6E41">
      <w:pPr>
        <w:spacing w:after="0" w:line="360" w:lineRule="auto"/>
        <w:jc w:val="both"/>
        <w:rPr>
          <w:rFonts w:ascii="Times New Roman" w:hAnsi="Times New Roman" w:cs="Times New Roman"/>
          <w:sz w:val="24"/>
          <w:szCs w:val="24"/>
        </w:rPr>
      </w:pP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b/>
          <w:sz w:val="24"/>
          <w:szCs w:val="24"/>
        </w:rPr>
        <w:t xml:space="preserve">6. AZ ÉRINTETTEK JOGAI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érintett tájékoztatást kérhet személyes adatai kezeléséről, valamint kérheti személyes adatainak helyesbítését, illetve – a jogszabályban elrendelt adatkezelések kivételével –zárolását, vagy törlését a hírlevelek láblécében található linken vagy a</w:t>
      </w:r>
      <w:r w:rsidR="005B724A" w:rsidRPr="000D6E41">
        <w:rPr>
          <w:rFonts w:ascii="Times New Roman" w:hAnsi="Times New Roman" w:cs="Times New Roman"/>
          <w:sz w:val="24"/>
          <w:szCs w:val="24"/>
        </w:rPr>
        <w:t>z</w:t>
      </w:r>
      <w:r w:rsidRPr="000D6E41">
        <w:rPr>
          <w:rFonts w:ascii="Times New Roman" w:hAnsi="Times New Roman" w:cs="Times New Roman"/>
          <w:sz w:val="24"/>
          <w:szCs w:val="24"/>
        </w:rPr>
        <w:t xml:space="preserve"> Adatkezelő bármelyik elérhetőségén.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Amennyiben az Adatkezelő belső adatvédelmi felelőssel rendelkezik, a belső adatvédelmi felelős útján, az adatvédelmi incidenssel kapcsolatos intézkedések ellenőrzése, valamint az érintett tájékoztatása céljából nyilvántartást vezet, amely tartalmazza </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érintett személyes adatok körét,</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adatvédelmi incidenssel érintettek körét és számát,</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adatvédelmi incidens időpontját, körülményeit, hatásait és az elhárítására megtett intézkedéseket, valamint</w:t>
      </w:r>
    </w:p>
    <w:p w:rsidR="00DD3D34" w:rsidRPr="000D6E41" w:rsidRDefault="005A20FD" w:rsidP="000D6E41">
      <w:pPr>
        <w:numPr>
          <w:ilvl w:val="0"/>
          <w:numId w:val="1"/>
        </w:num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adatkezelést előíró jogszabályban meghatározott egyéb adatokat.</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lastRenderedPageBreak/>
        <w:t xml:space="preserve">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adatvédelmi és az adattovábbítási nyilvántartás adatainak megőrzésére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Adatkezelő köteles a kérelem benyújtásától számított legrövidebb idő alatt, legfeljebb azonban 25 napon belül, közérthető formában, az érintett erre irányuló kérelmére írásban megadni a tájékoztatást. E tájékoztatás ingyenes, ha a tájékoztatást kérő a folyó évben azonos 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valóságnak meg nem felelő személyes adatot az Adatkezelő helyesbíteni köteles.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személyes adatot az Adatkezelő törli, ha kezelése jogellenes, az érintett kéri, az hiányos vagy téves – és ez az állapot jogszerűen nem korrigálható - feltéve, hogy a törlést törvény nem zárja ki, ha az adatkezelés célja megszűnt, az adatok tárolásának törvényben meghatározott határideje lejárt, vagy azt a bíróság vagy az adat- védelmi biztos elrendelte.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 helyesbítésről és a törlésről az érintettet, továbbá mindazokat értesíti, akiknek korábban az adatot adatkezelés céljára továbbította. Az értesítés mellőzhető, ha ez az adatkezelés céljára való tekintettel az érintett jogos érdekét nem sérti.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a tiltakozás jogának gyakorlását egyébként törvény lehetővé teszi.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w:t>
      </w:r>
      <w:r w:rsidRPr="000D6E41">
        <w:rPr>
          <w:rFonts w:ascii="Times New Roman" w:hAnsi="Times New Roman" w:cs="Times New Roman"/>
          <w:sz w:val="24"/>
          <w:szCs w:val="24"/>
        </w:rPr>
        <w:lastRenderedPageBreak/>
        <w:t xml:space="preserve">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Az érintett tájékoztatását az adatkezelő csak kivételes - a 2011. évi CXII. törvény a 9. § (1)</w:t>
      </w:r>
      <w:r w:rsidR="005B724A" w:rsidRPr="000D6E41">
        <w:rPr>
          <w:rFonts w:ascii="Times New Roman" w:hAnsi="Times New Roman" w:cs="Times New Roman"/>
          <w:sz w:val="24"/>
          <w:szCs w:val="24"/>
        </w:rPr>
        <w:t xml:space="preserve"> </w:t>
      </w:r>
      <w:r w:rsidRPr="000D6E41">
        <w:rPr>
          <w:rFonts w:ascii="Times New Roman" w:hAnsi="Times New Roman" w:cs="Times New Roman"/>
          <w:sz w:val="24"/>
          <w:szCs w:val="24"/>
        </w:rPr>
        <w:t>bekezdésében, valamint a 19. §</w:t>
      </w:r>
      <w:proofErr w:type="spellStart"/>
      <w:r w:rsidRPr="000D6E41">
        <w:rPr>
          <w:rFonts w:ascii="Times New Roman" w:hAnsi="Times New Roman" w:cs="Times New Roman"/>
          <w:sz w:val="24"/>
          <w:szCs w:val="24"/>
        </w:rPr>
        <w:t>-ban</w:t>
      </w:r>
      <w:proofErr w:type="spellEnd"/>
      <w:r w:rsidRPr="000D6E41">
        <w:rPr>
          <w:rFonts w:ascii="Times New Roman" w:hAnsi="Times New Roman" w:cs="Times New Roman"/>
          <w:sz w:val="24"/>
          <w:szCs w:val="24"/>
        </w:rPr>
        <w:t xml:space="preserve"> meghatározott</w:t>
      </w:r>
      <w:r w:rsidR="005B724A" w:rsidRPr="000D6E41">
        <w:rPr>
          <w:rFonts w:ascii="Times New Roman" w:hAnsi="Times New Roman" w:cs="Times New Roman"/>
          <w:sz w:val="24"/>
          <w:szCs w:val="24"/>
        </w:rPr>
        <w:t xml:space="preserve"> </w:t>
      </w:r>
      <w:r w:rsidRPr="000D6E41">
        <w:rPr>
          <w:rFonts w:ascii="Times New Roman" w:hAnsi="Times New Roman" w:cs="Times New Roman"/>
          <w:sz w:val="24"/>
          <w:szCs w:val="24"/>
        </w:rPr>
        <w:t xml:space="preserve">- esetekben tagadhatja meg.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Ez esetben az Adatkezelő írásban közli az érintettel, hogy a felvilágosítás megtagadására e törvény mely rendelkezése alapján került sor. A felvilágosítás megtagadása esetén az adatkezelő tájékoztatja az érintettet a bírósági jogorvoslat, továbbá a Hatósághoz fordulás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elutasított kérelmekről az adatkezelő a Hatóságot évente a tárgyévet követő év január 31-éig értesíti.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Az érintett a jogainak megsértése esetén – és e tényről Adatkezelő tájékoztatja a panaszost -  az adatkezelő ellen bírósághoz vagy az adatvédelmi hatósághoz fordulhat. Jogorvoslati lehetőséggel, panasszal a következő elérhetőségeken lehet élni: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Név: Nemzeti Adatvédelmi és Információszabadság Hatóság Cím:1125 Budapest, Szilágyi Erzsébet fasor 22/c.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Telefon: 06- 1-391-1400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Fax: 06-1-391-1410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E-mail: ugyfelszolgalat@naih.hu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Weboldal: www.naih.hu </w:t>
      </w:r>
    </w:p>
    <w:p w:rsidR="00DD3D34" w:rsidRPr="000D6E41" w:rsidRDefault="005A20FD" w:rsidP="000D6E41">
      <w:pPr>
        <w:spacing w:after="0" w:line="360" w:lineRule="auto"/>
        <w:jc w:val="both"/>
        <w:rPr>
          <w:rFonts w:ascii="Times New Roman" w:hAnsi="Times New Roman" w:cs="Times New Roman"/>
          <w:sz w:val="24"/>
          <w:szCs w:val="24"/>
        </w:rPr>
      </w:pPr>
      <w:r w:rsidRPr="000D6E41">
        <w:rPr>
          <w:rFonts w:ascii="Times New Roman" w:hAnsi="Times New Roman" w:cs="Times New Roman"/>
          <w:sz w:val="24"/>
          <w:szCs w:val="24"/>
        </w:rPr>
        <w:t xml:space="preserve">  </w:t>
      </w:r>
    </w:p>
    <w:p w:rsidR="00DD3D34" w:rsidRPr="000D6E41" w:rsidRDefault="005B724A" w:rsidP="000D6E41">
      <w:pPr>
        <w:spacing w:after="0" w:line="360" w:lineRule="auto"/>
        <w:rPr>
          <w:rFonts w:ascii="Times New Roman" w:hAnsi="Times New Roman" w:cs="Times New Roman"/>
          <w:sz w:val="24"/>
          <w:szCs w:val="24"/>
        </w:rPr>
      </w:pPr>
      <w:r w:rsidRPr="000D6E41">
        <w:rPr>
          <w:rFonts w:ascii="Times New Roman" w:hAnsi="Times New Roman" w:cs="Times New Roman"/>
          <w:sz w:val="24"/>
          <w:szCs w:val="24"/>
        </w:rPr>
        <w:t>Kelt: 2018. május 25.</w:t>
      </w:r>
    </w:p>
    <w:sectPr w:rsidR="00DD3D34" w:rsidRPr="000D6E41">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67DB87"/>
    <w:multiLevelType w:val="hybridMultilevel"/>
    <w:tmpl w:val="E342012C"/>
    <w:lvl w:ilvl="0" w:tplc="47D8A37E">
      <w:start w:val="1"/>
      <w:numFmt w:val="decimal"/>
      <w:lvlText w:val="%1."/>
      <w:lvlJc w:val="left"/>
      <w:pPr>
        <w:tabs>
          <w:tab w:val="num" w:pos="720"/>
        </w:tabs>
        <w:ind w:left="720" w:hanging="360"/>
      </w:pPr>
      <w:rPr>
        <w:rFonts w:hint="default"/>
      </w:rPr>
    </w:lvl>
    <w:lvl w:ilvl="1" w:tplc="84460998">
      <w:start w:val="1"/>
      <w:numFmt w:val="bullet"/>
      <w:lvlText w:val="o"/>
      <w:lvlJc w:val="left"/>
      <w:pPr>
        <w:tabs>
          <w:tab w:val="num" w:pos="1440"/>
        </w:tabs>
        <w:ind w:left="1440" w:hanging="360"/>
      </w:pPr>
      <w:rPr>
        <w:rFonts w:ascii="Courier New" w:hAnsi="Courier New" w:cs="Courier New" w:hint="default"/>
      </w:rPr>
    </w:lvl>
    <w:lvl w:ilvl="2" w:tplc="58AEA464">
      <w:start w:val="1"/>
      <w:numFmt w:val="bullet"/>
      <w:lvlText w:val=""/>
      <w:lvlJc w:val="left"/>
      <w:pPr>
        <w:tabs>
          <w:tab w:val="num" w:pos="2160"/>
        </w:tabs>
        <w:ind w:left="2160" w:hanging="360"/>
      </w:pPr>
      <w:rPr>
        <w:rFonts w:ascii="Wingdings" w:hAnsi="Wingdings" w:cs="Wingdings" w:hint="default"/>
      </w:rPr>
    </w:lvl>
    <w:lvl w:ilvl="3" w:tplc="400EB01C">
      <w:start w:val="1"/>
      <w:numFmt w:val="bullet"/>
      <w:lvlText w:val=""/>
      <w:lvlJc w:val="left"/>
      <w:pPr>
        <w:tabs>
          <w:tab w:val="num" w:pos="2880"/>
        </w:tabs>
        <w:ind w:left="2880" w:hanging="360"/>
      </w:pPr>
      <w:rPr>
        <w:rFonts w:ascii="Symbol" w:hAnsi="Symbol" w:cs="Symbol" w:hint="default"/>
      </w:rPr>
    </w:lvl>
    <w:lvl w:ilvl="4" w:tplc="BE14A330">
      <w:start w:val="1"/>
      <w:numFmt w:val="bullet"/>
      <w:lvlText w:val="o"/>
      <w:lvlJc w:val="left"/>
      <w:pPr>
        <w:tabs>
          <w:tab w:val="num" w:pos="3600"/>
        </w:tabs>
        <w:ind w:left="3600" w:hanging="360"/>
      </w:pPr>
      <w:rPr>
        <w:rFonts w:ascii="Courier New" w:hAnsi="Courier New" w:cs="Courier New" w:hint="default"/>
      </w:rPr>
    </w:lvl>
    <w:lvl w:ilvl="5" w:tplc="04C0A488">
      <w:start w:val="1"/>
      <w:numFmt w:val="bullet"/>
      <w:lvlText w:val=""/>
      <w:lvlJc w:val="left"/>
      <w:pPr>
        <w:tabs>
          <w:tab w:val="num" w:pos="4320"/>
        </w:tabs>
        <w:ind w:left="4320" w:hanging="360"/>
      </w:pPr>
      <w:rPr>
        <w:rFonts w:ascii="Wingdings" w:hAnsi="Wingdings" w:cs="Wingdings" w:hint="default"/>
      </w:rPr>
    </w:lvl>
    <w:lvl w:ilvl="6" w:tplc="9D1E3494">
      <w:start w:val="1"/>
      <w:numFmt w:val="bullet"/>
      <w:lvlText w:val=""/>
      <w:lvlJc w:val="left"/>
      <w:pPr>
        <w:tabs>
          <w:tab w:val="num" w:pos="5040"/>
        </w:tabs>
        <w:ind w:left="5040" w:hanging="360"/>
      </w:pPr>
      <w:rPr>
        <w:rFonts w:ascii="Symbol" w:hAnsi="Symbol" w:cs="Symbol" w:hint="default"/>
      </w:rPr>
    </w:lvl>
    <w:lvl w:ilvl="7" w:tplc="76C4A53C">
      <w:start w:val="1"/>
      <w:numFmt w:val="bullet"/>
      <w:lvlText w:val="o"/>
      <w:lvlJc w:val="left"/>
      <w:pPr>
        <w:tabs>
          <w:tab w:val="num" w:pos="5760"/>
        </w:tabs>
        <w:ind w:left="5760" w:hanging="360"/>
      </w:pPr>
      <w:rPr>
        <w:rFonts w:ascii="Courier New" w:hAnsi="Courier New" w:cs="Courier New" w:hint="default"/>
      </w:rPr>
    </w:lvl>
    <w:lvl w:ilvl="8" w:tplc="8216F04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9F7A10"/>
    <w:multiLevelType w:val="hybridMultilevel"/>
    <w:tmpl w:val="0D68D3EA"/>
    <w:lvl w:ilvl="0" w:tplc="1668E288">
      <w:numFmt w:val="bullet"/>
      <w:lvlText w:val="-"/>
      <w:lvlJc w:val="left"/>
      <w:pPr>
        <w:ind w:left="360" w:hanging="360"/>
      </w:pPr>
      <w:rPr>
        <w:rFonts w:ascii="Arial" w:eastAsia="Arial" w:hAnsi="Arial" w:cs="Arial" w:hint="default"/>
        <w:b/>
        <w:i/>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54ED4988"/>
    <w:multiLevelType w:val="hybridMultilevel"/>
    <w:tmpl w:val="F2D689D0"/>
    <w:lvl w:ilvl="0" w:tplc="7A185FA6">
      <w:numFmt w:val="bullet"/>
      <w:lvlText w:val="-"/>
      <w:lvlJc w:val="left"/>
      <w:pPr>
        <w:ind w:left="720" w:hanging="360"/>
      </w:pPr>
      <w:rPr>
        <w:rFonts w:ascii="Arial" w:eastAsia="Arial" w:hAnsi="Arial" w:cs="Arial"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01C796F"/>
    <w:multiLevelType w:val="hybridMultilevel"/>
    <w:tmpl w:val="148C8344"/>
    <w:lvl w:ilvl="0" w:tplc="5268B582">
      <w:start w:val="1"/>
      <w:numFmt w:val="bullet"/>
      <w:lvlText w:val=""/>
      <w:lvlJc w:val="left"/>
      <w:pPr>
        <w:tabs>
          <w:tab w:val="num" w:pos="720"/>
        </w:tabs>
        <w:ind w:left="720" w:hanging="360"/>
      </w:pPr>
      <w:rPr>
        <w:rFonts w:ascii="Symbol" w:hAnsi="Symbol" w:cs="Symbol" w:hint="default"/>
      </w:rPr>
    </w:lvl>
    <w:lvl w:ilvl="1" w:tplc="A9CC8FDC">
      <w:start w:val="1"/>
      <w:numFmt w:val="bullet"/>
      <w:lvlText w:val="o"/>
      <w:lvlJc w:val="left"/>
      <w:pPr>
        <w:tabs>
          <w:tab w:val="num" w:pos="1440"/>
        </w:tabs>
        <w:ind w:left="1440" w:hanging="360"/>
      </w:pPr>
      <w:rPr>
        <w:rFonts w:ascii="Courier New" w:hAnsi="Courier New" w:cs="Courier New" w:hint="default"/>
      </w:rPr>
    </w:lvl>
    <w:lvl w:ilvl="2" w:tplc="7D3A94E4">
      <w:start w:val="1"/>
      <w:numFmt w:val="bullet"/>
      <w:lvlText w:val=""/>
      <w:lvlJc w:val="left"/>
      <w:pPr>
        <w:tabs>
          <w:tab w:val="num" w:pos="2160"/>
        </w:tabs>
        <w:ind w:left="2160" w:hanging="360"/>
      </w:pPr>
      <w:rPr>
        <w:rFonts w:ascii="Wingdings" w:hAnsi="Wingdings" w:cs="Wingdings" w:hint="default"/>
      </w:rPr>
    </w:lvl>
    <w:lvl w:ilvl="3" w:tplc="7146238A">
      <w:start w:val="1"/>
      <w:numFmt w:val="bullet"/>
      <w:lvlText w:val=""/>
      <w:lvlJc w:val="left"/>
      <w:pPr>
        <w:tabs>
          <w:tab w:val="num" w:pos="2880"/>
        </w:tabs>
        <w:ind w:left="2880" w:hanging="360"/>
      </w:pPr>
      <w:rPr>
        <w:rFonts w:ascii="Symbol" w:hAnsi="Symbol" w:cs="Symbol" w:hint="default"/>
      </w:rPr>
    </w:lvl>
    <w:lvl w:ilvl="4" w:tplc="DB3C4048">
      <w:start w:val="1"/>
      <w:numFmt w:val="bullet"/>
      <w:lvlText w:val="o"/>
      <w:lvlJc w:val="left"/>
      <w:pPr>
        <w:tabs>
          <w:tab w:val="num" w:pos="3600"/>
        </w:tabs>
        <w:ind w:left="3600" w:hanging="360"/>
      </w:pPr>
      <w:rPr>
        <w:rFonts w:ascii="Courier New" w:hAnsi="Courier New" w:cs="Courier New" w:hint="default"/>
      </w:rPr>
    </w:lvl>
    <w:lvl w:ilvl="5" w:tplc="91DADD36">
      <w:start w:val="1"/>
      <w:numFmt w:val="bullet"/>
      <w:lvlText w:val=""/>
      <w:lvlJc w:val="left"/>
      <w:pPr>
        <w:tabs>
          <w:tab w:val="num" w:pos="4320"/>
        </w:tabs>
        <w:ind w:left="4320" w:hanging="360"/>
      </w:pPr>
      <w:rPr>
        <w:rFonts w:ascii="Wingdings" w:hAnsi="Wingdings" w:cs="Wingdings" w:hint="default"/>
      </w:rPr>
    </w:lvl>
    <w:lvl w:ilvl="6" w:tplc="203ADCC4">
      <w:start w:val="1"/>
      <w:numFmt w:val="bullet"/>
      <w:lvlText w:val=""/>
      <w:lvlJc w:val="left"/>
      <w:pPr>
        <w:tabs>
          <w:tab w:val="num" w:pos="5040"/>
        </w:tabs>
        <w:ind w:left="5040" w:hanging="360"/>
      </w:pPr>
      <w:rPr>
        <w:rFonts w:ascii="Symbol" w:hAnsi="Symbol" w:cs="Symbol" w:hint="default"/>
      </w:rPr>
    </w:lvl>
    <w:lvl w:ilvl="7" w:tplc="F014E15A">
      <w:start w:val="1"/>
      <w:numFmt w:val="bullet"/>
      <w:lvlText w:val="o"/>
      <w:lvlJc w:val="left"/>
      <w:pPr>
        <w:tabs>
          <w:tab w:val="num" w:pos="5760"/>
        </w:tabs>
        <w:ind w:left="5760" w:hanging="360"/>
      </w:pPr>
      <w:rPr>
        <w:rFonts w:ascii="Courier New" w:hAnsi="Courier New" w:cs="Courier New" w:hint="default"/>
      </w:rPr>
    </w:lvl>
    <w:lvl w:ilvl="8" w:tplc="C13EFC6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339A753"/>
    <w:multiLevelType w:val="hybridMultilevel"/>
    <w:tmpl w:val="CABE7F86"/>
    <w:lvl w:ilvl="0" w:tplc="A184DD90">
      <w:start w:val="1"/>
      <w:numFmt w:val="decimal"/>
      <w:lvlText w:val="%1."/>
      <w:lvlJc w:val="left"/>
      <w:pPr>
        <w:tabs>
          <w:tab w:val="num" w:pos="720"/>
        </w:tabs>
        <w:ind w:left="720" w:hanging="360"/>
      </w:pPr>
    </w:lvl>
    <w:lvl w:ilvl="1" w:tplc="A1C8F56A">
      <w:start w:val="1"/>
      <w:numFmt w:val="bullet"/>
      <w:lvlText w:val="o"/>
      <w:lvlJc w:val="left"/>
      <w:pPr>
        <w:tabs>
          <w:tab w:val="num" w:pos="1440"/>
        </w:tabs>
        <w:ind w:left="1440" w:hanging="360"/>
      </w:pPr>
      <w:rPr>
        <w:rFonts w:ascii="Courier New" w:hAnsi="Courier New" w:cs="Courier New" w:hint="default"/>
      </w:rPr>
    </w:lvl>
    <w:lvl w:ilvl="2" w:tplc="AADE82A8">
      <w:start w:val="1"/>
      <w:numFmt w:val="bullet"/>
      <w:lvlText w:val=""/>
      <w:lvlJc w:val="left"/>
      <w:pPr>
        <w:tabs>
          <w:tab w:val="num" w:pos="2160"/>
        </w:tabs>
        <w:ind w:left="2160" w:hanging="360"/>
      </w:pPr>
      <w:rPr>
        <w:rFonts w:ascii="Wingdings" w:hAnsi="Wingdings" w:cs="Wingdings" w:hint="default"/>
      </w:rPr>
    </w:lvl>
    <w:lvl w:ilvl="3" w:tplc="0F00E9F0">
      <w:start w:val="1"/>
      <w:numFmt w:val="bullet"/>
      <w:lvlText w:val=""/>
      <w:lvlJc w:val="left"/>
      <w:pPr>
        <w:tabs>
          <w:tab w:val="num" w:pos="2880"/>
        </w:tabs>
        <w:ind w:left="2880" w:hanging="360"/>
      </w:pPr>
      <w:rPr>
        <w:rFonts w:ascii="Symbol" w:hAnsi="Symbol" w:cs="Symbol" w:hint="default"/>
      </w:rPr>
    </w:lvl>
    <w:lvl w:ilvl="4" w:tplc="3D80D3DC">
      <w:start w:val="1"/>
      <w:numFmt w:val="bullet"/>
      <w:lvlText w:val="o"/>
      <w:lvlJc w:val="left"/>
      <w:pPr>
        <w:tabs>
          <w:tab w:val="num" w:pos="3600"/>
        </w:tabs>
        <w:ind w:left="3600" w:hanging="360"/>
      </w:pPr>
      <w:rPr>
        <w:rFonts w:ascii="Courier New" w:hAnsi="Courier New" w:cs="Courier New" w:hint="default"/>
      </w:rPr>
    </w:lvl>
    <w:lvl w:ilvl="5" w:tplc="4DBED01C">
      <w:start w:val="1"/>
      <w:numFmt w:val="bullet"/>
      <w:lvlText w:val=""/>
      <w:lvlJc w:val="left"/>
      <w:pPr>
        <w:tabs>
          <w:tab w:val="num" w:pos="4320"/>
        </w:tabs>
        <w:ind w:left="4320" w:hanging="360"/>
      </w:pPr>
      <w:rPr>
        <w:rFonts w:ascii="Wingdings" w:hAnsi="Wingdings" w:cs="Wingdings" w:hint="default"/>
      </w:rPr>
    </w:lvl>
    <w:lvl w:ilvl="6" w:tplc="7F30E55A">
      <w:start w:val="1"/>
      <w:numFmt w:val="bullet"/>
      <w:lvlText w:val=""/>
      <w:lvlJc w:val="left"/>
      <w:pPr>
        <w:tabs>
          <w:tab w:val="num" w:pos="5040"/>
        </w:tabs>
        <w:ind w:left="5040" w:hanging="360"/>
      </w:pPr>
      <w:rPr>
        <w:rFonts w:ascii="Symbol" w:hAnsi="Symbol" w:cs="Symbol" w:hint="default"/>
      </w:rPr>
    </w:lvl>
    <w:lvl w:ilvl="7" w:tplc="424CBB66">
      <w:start w:val="1"/>
      <w:numFmt w:val="bullet"/>
      <w:lvlText w:val="o"/>
      <w:lvlJc w:val="left"/>
      <w:pPr>
        <w:tabs>
          <w:tab w:val="num" w:pos="5760"/>
        </w:tabs>
        <w:ind w:left="5760" w:hanging="360"/>
      </w:pPr>
      <w:rPr>
        <w:rFonts w:ascii="Courier New" w:hAnsi="Courier New" w:cs="Courier New" w:hint="default"/>
      </w:rPr>
    </w:lvl>
    <w:lvl w:ilvl="8" w:tplc="F10CE4C6">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34"/>
    <w:rsid w:val="00033109"/>
    <w:rsid w:val="000D6E41"/>
    <w:rsid w:val="002474E9"/>
    <w:rsid w:val="00431756"/>
    <w:rsid w:val="005A20FD"/>
    <w:rsid w:val="005B724A"/>
    <w:rsid w:val="00810674"/>
    <w:rsid w:val="00D73AEF"/>
    <w:rsid w:val="00DD3D34"/>
    <w:rsid w:val="00EA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5AD04-8C5D-4D1B-B7EA-5C2221C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unhideWhenUsed/>
    <w:rPr>
      <w:vertAlign w:val="superscript"/>
    </w:rPr>
  </w:style>
  <w:style w:type="paragraph" w:styleId="Listaszerbekezds">
    <w:name w:val="List Paragraph"/>
    <w:basedOn w:val="Norml"/>
    <w:uiPriority w:val="34"/>
    <w:qFormat/>
    <w:rsid w:val="005B7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2920</Words>
  <Characters>20152</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Feketéné</dc:creator>
  <cp:keywords/>
  <dc:description/>
  <cp:lastModifiedBy>Feketéné</cp:lastModifiedBy>
  <cp:revision>16</cp:revision>
  <dcterms:created xsi:type="dcterms:W3CDTF">2018-12-29T12:03:00Z</dcterms:created>
  <dcterms:modified xsi:type="dcterms:W3CDTF">2018-12-30T12:05:00Z</dcterms:modified>
  <cp:category/>
</cp:coreProperties>
</file>